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54cr4kaxd9au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Paski wybielające zęby                                                       </w:t>
      </w:r>
      <w:r w:rsidDel="00000000" w:rsidR="00000000" w:rsidRPr="00000000">
        <w:rPr>
          <w:b w:val="1"/>
          <w:bCs w:val="1"/>
          <w:color w:val="000000"/>
        </w:rPr>
        <w:drawing>
          <wp:inline distB="114300" distT="114300" distL="114300" distR="114300">
            <wp:extent cx="1018661" cy="10186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661" cy="1018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rtl w:val="0"/>
        </w:rPr>
        <w:br w:type="textWrapping"/>
        <w:br w:type="textWrapping"/>
        <w:t xml:space="preserve">INSTRUKCJA UŻYCIA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Ostrzeżenie: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Nieprzeznaczone dla dzieci poniżej 16. roku życia.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Nie połykać paska.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Unikać kontaktu pasków z oczami lub skórą.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W przypadku kontaktu paska ze skórą może wystąpić tymczasowe podrażnienie.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W przypadku jakiegokolwiek dyskomfortu przerwać stosowanie i natychmiast skonsultować się z dentystą.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Nieodpowiednie dla osób z owrzodzeniami, odsłoniętymi dziąsłami lub po zabiegach chirurgicznych w jamie ustnej.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Instrukcja użycia: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Zdejmij paski z podkładu.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Nałóż górny pasek na górne zęby, a następnie powtórz to samo z dolnym paskiem na dolne zęby.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Pozostaw na 30 minut; w tym czasie nie jedz ani nie pij.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Usuń paski i wyrzuć je, spłucz ewentualny pozostały żel i podziwiaj efekt.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Termin ważności:</w:t>
        <w:br w:type="textWrapping"/>
        <w:br w:type="textWrapping"/>
      </w:r>
      <w:r w:rsidDel="00000000" w:rsidR="00000000" w:rsidRPr="00000000">
        <w:rPr>
          <w:rtl w:val="0"/>
        </w:rPr>
        <w:t xml:space="preserve">2 lata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Przechowywanie:</w:t>
        <w:br w:type="textWrapping"/>
        <w:br w:type="textWrapping"/>
      </w:r>
      <w:r w:rsidDel="00000000" w:rsidR="00000000" w:rsidRPr="00000000">
        <w:rPr>
          <w:rtl w:val="0"/>
        </w:rPr>
        <w:t xml:space="preserve">Przechowywać w suchym i chłodnym miejscu (trzymać poza zasięgiem małych dzieci).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Utylizacja:</w:t>
        <w:br w:type="textWrapping"/>
        <w:br w:type="textWrapping"/>
      </w:r>
      <w:r w:rsidDel="00000000" w:rsidR="00000000" w:rsidRPr="00000000">
        <w:rPr>
          <w:rtl w:val="0"/>
        </w:rPr>
        <w:t xml:space="preserve">Wyrzucić produkt po użyciu zgodnie z lokalnymi przepisami dotyczącymi odpadów.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Ważne wskazówki: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Używaj pasków wybielających regularnie, co trzy miesiące, aby uzyskać bielszy i bardziej promienny uśmiech.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Ogranicz lub unikaj palenia papierosów oraz picia kawy, herbaty, coli i czerwonego wina, a także spożywania silnie barwiących produktów, takich jak wiśnie i jagody, aby uzyskać lepszy i trwalszy efekt.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Zużyj wszystkie paski w ciągu dwóch tygodni, aby osiągnąć najlepszy rezultat.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Przewodnik użytkownika: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Unikaj używania pasków bezpośrednio po szczotkowaniu zębów. Odczekaj co najmniej godzinę po szczotkowaniu przed zastosowaniem pasków.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Nie używaj pasków ponownie; wyrzuć je po jednorazowym użyciu.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Składniki pasków są bezpieczne; jeśli niewielka ilość żelu zostanie połknięta, nie stanowi to zagrożenia.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Usuń resztki żelu, szczotkując i płucząc zęby.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