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micjey8716s7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Kit sbiancante per denti</w:t>
        <w:br w:type="textWrapping"/>
        <w:br w:type="textWrapping"/>
        <w:br w:type="textWrapping"/>
        <w:t xml:space="preserve">  </w:t>
        <w:br w:type="textWrapping"/>
        <w:t xml:space="preserve">     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</w:rPr>
        <w:drawing>
          <wp:inline distB="114300" distT="114300" distL="114300" distR="114300">
            <wp:extent cx="1018661" cy="101866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661" cy="1018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591175" cy="2276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952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276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  <w:br w:type="textWrapping"/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Figura 1, 2 e 3 corrispondono a: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1. Modellare</w:t>
      </w: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Figura 4 corrisponde a: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2. Rifinire</w:t>
      </w: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Figura 5, 6, 7, 8 e 9 corrispondono a: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3. Sbiancare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gwut5d28ezg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  <w:br w:type="textWrapping"/>
        <w:br w:type="textWrapping"/>
        <w:t xml:space="preserve">1. Modellare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Modellare le mascherine termoplastiche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micjey8716s7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Portare ad ebollizione circa 10 cm d’acqua, quindi togliere dal fuoco e lasciar riposare per 6–7 minuti.</w:t>
        <w:br w:type="textWrapping"/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rcptjlkb6ppe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Immergere una delle mascherine nell’acqua calda per 10–12 secondi, o fino a quando non inizia ad ammorbidirsi. Fare attenzione a non surriscaldare le mascherine.</w:t>
        <w:br w:type="textWrapping"/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n1iakpk0j4at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Inserire la mascherina in bocca, coprendo i denti superiori.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z9caazipvwax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Chiudere la bocca e aspirare delicatamente tutta l’aria e l’acqua in eccesso per creare un effetto ventosa tra la mascherina e i denti.</w:t>
        <w:br w:type="textWrapping"/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l6nzimaghp0s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Con le dita, premere il labbro superiore contro i denti per aiutare la mascherina ad adattarsi alla loro forma.</w:t>
        <w:br w:type="textWrapping"/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ydp5zxyq38o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Attendere 10–15 secondi, quindi rimuovere la mascherina dalla bocca.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2la7shcegtaz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Immergere completamente la mascherina in un bicchiere di acqua fredda per 10 secondi per aiutarla a mantenere la forma.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4cat2v1uw81u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Ripetere il processo per la mascherina inferiore.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t94633jxf7g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Rifinire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Rifinire le mascherine all’altezza corretta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micjey8716s7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Dopo aver modellato entrambe le mascherine, usare delle forbici per tagliare l’eccesso di plastica dall’estremità aperta delle mascherine (la parte che raggiunge la linea gengivale).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dpdsibaqgles" w:id="10"/>
      <w:bookmarkEnd w:id="10"/>
      <w:r w:rsidDel="00000000" w:rsidR="00000000" w:rsidRPr="00000000">
        <w:rPr>
          <w:color w:val="000000"/>
          <w:sz w:val="22"/>
          <w:szCs w:val="22"/>
          <w:rtl w:val="0"/>
        </w:rPr>
        <w:t xml:space="preserve">Rifinire le mascherine a livello delle gengive aiuta a prevenire irritazioni causate dallo sfregamento contro quest’area sensibile.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cfwt26c33si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Sbiancare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Riempire le mascherine e sbiancare i denti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micjey8716s7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Applicare una piccola goccia di gel sbiancante in ogni impronta dentale, sia nella mascherina superiore che in quella inferiore. Non riempire eccessivamente le mascherine—meno è meglio.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rwrohid22yeq" w:id="12"/>
      <w:bookmarkEnd w:id="12"/>
      <w:r w:rsidDel="00000000" w:rsidR="00000000" w:rsidRPr="00000000">
        <w:rPr>
          <w:color w:val="000000"/>
          <w:sz w:val="22"/>
          <w:szCs w:val="22"/>
          <w:rtl w:val="0"/>
        </w:rPr>
        <w:t xml:space="preserve">Inserire le mascherine in bocca e regolarle in modo che i denti si adattino perfettamente alle impronte.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i0lotna895u" w:id="13"/>
      <w:bookmarkEnd w:id="13"/>
      <w:r w:rsidDel="00000000" w:rsidR="00000000" w:rsidRPr="00000000">
        <w:rPr>
          <w:color w:val="000000"/>
          <w:sz w:val="22"/>
          <w:szCs w:val="22"/>
          <w:rtl w:val="0"/>
        </w:rPr>
        <w:t xml:space="preserve">Applicare una leggera pressione sulla mascherina superiore premendo il labbro superiore con le dita per garantirne una corretta aderenza.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rpgj256mcqxi" w:id="14"/>
      <w:bookmarkEnd w:id="14"/>
      <w:r w:rsidDel="00000000" w:rsidR="00000000" w:rsidRPr="00000000">
        <w:rPr>
          <w:color w:val="000000"/>
          <w:sz w:val="22"/>
          <w:szCs w:val="22"/>
          <w:rtl w:val="0"/>
        </w:rPr>
        <w:t xml:space="preserve">Accendere la lampada LED premendo il pulsante bianco, quindi tenerla il più vicino possibile ai denti per tutta la durata del trattamento. L’acceleratore LED è progettato per aiutare a ottenere risultati migliori in meno tempo.</w:t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tsyevxdipuft" w:id="15"/>
      <w:bookmarkEnd w:id="15"/>
      <w:r w:rsidDel="00000000" w:rsidR="00000000" w:rsidRPr="00000000">
        <w:rPr>
          <w:color w:val="000000"/>
          <w:sz w:val="22"/>
          <w:szCs w:val="22"/>
          <w:rtl w:val="0"/>
        </w:rPr>
        <w:t xml:space="preserve">Indossare le mascherine per circa 20–45 minuti. Si consiglia di iniziare con sessioni di 20 minuti e aumentare gradualmente la durata man mano che i denti si abituano al processo.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59ovhtv89x7a" w:id="16"/>
      <w:bookmarkEnd w:id="16"/>
      <w:r w:rsidDel="00000000" w:rsidR="00000000" w:rsidRPr="00000000">
        <w:rPr>
          <w:color w:val="000000"/>
          <w:sz w:val="22"/>
          <w:szCs w:val="22"/>
          <w:rtl w:val="0"/>
        </w:rPr>
        <w:t xml:space="preserve">Dopo l’uso, rimuovere le mascherine e sciacquarle con acqua tiepida. Conservare nella custodia fornita.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s0yueitvq7uf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Dopo ogni trattamento, rimuovere delicatamente l’eccesso di gel dai denti o dalle gengive con uno spazzolino da denti per ridurre il rischio di irritazioni. Sciacquare accuratamente lo spazzolino dopo l’uso.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6bpzr5msc84l" w:id="18"/>
      <w:bookmarkEnd w:id="18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(Opzionale)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Lo spray orale può rinfrescare l’alito. Tenere la pompetta vicino alla bocca e dirigere l’erogatore verso l’interno della guancia o sotto la lingua. Premere una volta. Se l’effetto non compare entro pochi minuti, utilizzare un secondo spruzzo.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oo91bakrcox1" w:id="19"/>
      <w:bookmarkEnd w:id="19"/>
      <w:r w:rsidDel="00000000" w:rsidR="00000000" w:rsidRPr="00000000">
        <w:rPr>
          <w:color w:val="000000"/>
          <w:sz w:val="22"/>
          <w:szCs w:val="22"/>
          <w:rtl w:val="0"/>
        </w:rPr>
        <w:t xml:space="preserve">Ripetere il trattamento settimanalmente fino a raggiungere la tonalità di bianco desiderata.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u033hxj35ly" w:id="20"/>
      <w:bookmarkEnd w:id="2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Campo di applicazione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Efficace contro le macchie causate da caffè, tabacco, fattori genetici, tetraciclina, coloranti alimentari, invecchiamento e altri fattori che scoloriscono i denti.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y4uognq70f6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Conservazione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Conservare in un luogo fresco e al riparo dalla luce solare diretta.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h5krqxsm7da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Durata di conservazione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24 mesi.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icjey8716s7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7xp35ujyina" w:id="23"/>
      <w:bookmarkEnd w:id="2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Nota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Modellare e rifinire correttamente le mascherine affinché si adattino perfettamente ai denti è il passaggio più importante. Il gel è efficace solo con mascherine ben adattate. Mascherine modellate male possono causare irritazioni gengivali o bruciore, e i risultati dello sbiancamento saranno ridotti. In caso di irritazione gengivale, il fastidio dovrebbe scomparire entro 24–48 ore.</w:t>
        <w:br w:type="textWrapping"/>
        <w:br w:type="textWrapping"/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Avvertenze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Solo per uso esterno. Non ingerire.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Questo prodotto non è adatto a persone di età inferiore ai 16 anni.</w:t>
        <w:br w:type="textWrapping"/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Non utilizzare in caso di ferite, problemi gengivali, carie, recessione gengivale o altri problemi ai denti o al cavo orale.</w:t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Non adatto a donne in gravidanza o in allattamento.</w:t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Non utilizzare il prodotto più a lungo di quanto raccomandato. Non superare il tempo massimo di trattamento di 45 minuti per sessione.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In caso di sensibilità o dolore persistente, interrompere immediatamente il trattamento e consultare un dentista.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qisaelr5g90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Tenere fuori dalla portata dei bambini.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qc18fp88ohq7" w:id="25"/>
      <w:bookmarkEnd w:id="2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d2xw47z3z0ga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/>
      </w:pPr>
      <w:bookmarkStart w:colFirst="0" w:colLast="0" w:name="_dbvzj3k54pg4" w:id="27"/>
      <w:bookmarkEnd w:id="27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