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color w:val="000000"/>
          <w:sz w:val="14"/>
          <w:szCs w:val="14"/>
        </w:rPr>
      </w:pPr>
      <w:bookmarkStart w:colFirst="0" w:colLast="0" w:name="_5l3pmphhoolz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Zestaw do wybielania zębów</w:t>
        <w:br w:type="textWrapping"/>
        <w:br w:type="textWrapping"/>
        <w:br w:type="textWrapping"/>
        <w:t xml:space="preserve">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100138" cy="11001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591175" cy="22764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952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27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t xml:space="preserve">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Rysunek 1, 2 i 3 dotyczą: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Formowanie</w:t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        Rysunek 4 dotyczy: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2. Przycinanie</w:t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        Rysunek 5, 6, 7, 8 i 9 dotyczą: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3. Wybielanie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wmjttpu0m5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                                          </w:t>
        <w:br w:type="textWrapping"/>
        <w:br w:type="textWrapping"/>
        <w:t xml:space="preserve">1. Formowanie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Formowanie termoplastycznych nakładek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Doprowadź około 10 cm wody do wrzenia, następnie zdejmij z ognia i odstaw na 6–7 minut.</w:t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i5wmjhyylob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Zanurz jedną z nakładek w gorącej wodzie na 10–12 sekund lub do momentu, aż zacznie mięknąć. Uważaj, aby nie przegrzać nakładek.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najsajoimver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Umieść nakładkę w ustach, zakrywając górne zęby.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qehgb4dk4nn1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Zamknij usta i delikatnie zassij powietrze oraz nadmiar wody, aby wytworzyć podciśnienie między nakładką a zębami.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ef0l62taxpt3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Palcami dociśnij górną wargę do zębów, aby pomóc nakładce dopasować się do ich kształtu.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3y7djf1firtd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Odczekaj 10–15 sekund, a następnie wyjmij nakładkę z ust.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mgcilpirgbeh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Całkowicie zanurz nakładkę w kubku zimnej wody na 10 sekund, aby utrwalić jej kształt.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liwtjzwhowmy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Powtórz ten proces dla dolnej nakładki.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f83nc2tzqbo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Przycinanie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Przycinanie nakładek do odpowiedniej wysokości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Po uformowaniu obu nakładek użyj nożyczek, aby przyciąć nadmiar plastiku z otwartego końca nakładek (tej części, która sięga linii dziąseł).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Przycinanie nakładek do linii dziąseł pomaga zapobiegać podrażnieniom spowodowanym tarciem lub ocieraniem o to wrażliwe miejsce.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ux3pg5lwsb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Wybielanie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Napełnianie nakładek i wybielanie zębów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Nałóż małą kroplę żelu wybielającego do każdego odcisku zęba w górnej i dolnej nakładce. Nie nakładaj zbyt dużo żelu — mniej znaczy lepiej.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eybdyz341xom" w:id="11"/>
      <w:bookmarkEnd w:id="11"/>
      <w:r w:rsidDel="00000000" w:rsidR="00000000" w:rsidRPr="00000000">
        <w:rPr>
          <w:color w:val="000000"/>
          <w:sz w:val="22"/>
          <w:szCs w:val="22"/>
          <w:rtl w:val="0"/>
        </w:rPr>
        <w:t xml:space="preserve">Umieść nakładki w ustach i dopasuj je tak, aby zęby dobrze wpasowały się w odciski.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9jz579et47e4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Delikatnie dociśnij górną nakładkę, naciskając górną wargę palcami, aby zapewnić jej dobre przyleganie.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7v5tztz56teg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Włącz lampę LED, naciskając biały przycisk, a następnie trzymaj ją jak najbliżej zębów przez cały czas trwania zabiegu. Akcelerator LED został zaprojektowany, aby pomóc uzyskać lepsze rezultaty w krótszym czasie.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o0dikq2esvwi" w:id="14"/>
      <w:bookmarkEnd w:id="14"/>
      <w:r w:rsidDel="00000000" w:rsidR="00000000" w:rsidRPr="00000000">
        <w:rPr>
          <w:color w:val="000000"/>
          <w:sz w:val="22"/>
          <w:szCs w:val="22"/>
          <w:rtl w:val="0"/>
        </w:rPr>
        <w:t xml:space="preserve">Noś nakładki przez około 20–45 minut. Zalecamy rozpoczęcie od 20-minutowych sesji i stopniowe wydłużanie czasu w miarę przyzwyczajania się zębów do procesu.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byzrwpbhxjxb" w:id="15"/>
      <w:bookmarkEnd w:id="15"/>
      <w:r w:rsidDel="00000000" w:rsidR="00000000" w:rsidRPr="00000000">
        <w:rPr>
          <w:color w:val="000000"/>
          <w:sz w:val="22"/>
          <w:szCs w:val="22"/>
          <w:rtl w:val="0"/>
        </w:rPr>
        <w:t xml:space="preserve">Po użyciu wyjmij nakładki i opłucz je w letniej wodzie. Przechowuj w dołączonym etui.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dg9nnrk5iqu" w:id="16"/>
      <w:bookmarkEnd w:id="16"/>
      <w:r w:rsidDel="00000000" w:rsidR="00000000" w:rsidRPr="00000000">
        <w:rPr>
          <w:color w:val="000000"/>
          <w:sz w:val="22"/>
          <w:szCs w:val="22"/>
          <w:rtl w:val="0"/>
        </w:rPr>
        <w:t xml:space="preserve">Po każdym zabiegu delikatnie usuń nadmiar żelu z zębów lub dziąseł za pomocą szczoteczki do zębów, aby zmniejszyć ryzyko podrażnień. Następnie dokładnie opłucz szczoteczkę.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oqgl0d32i6l3" w:id="17"/>
      <w:bookmarkEnd w:id="17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(Opcjonalnie)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Spray do ust może odświeżyć oddech. Trzymaj pompkę blisko ust i skieruj dyszę w stronę wewnętrznej strony policzka lub pod język. Naciśnij raz. Jeśli efekt nie pojawi się w ciągu kilku minut, użyj ponownie.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9wbfgg93sypc" w:id="18"/>
      <w:bookmarkEnd w:id="18"/>
      <w:r w:rsidDel="00000000" w:rsidR="00000000" w:rsidRPr="00000000">
        <w:rPr>
          <w:color w:val="000000"/>
          <w:sz w:val="22"/>
          <w:szCs w:val="22"/>
          <w:rtl w:val="0"/>
        </w:rPr>
        <w:t xml:space="preserve">Powtarzaj zabieg co tydzień, aż osiągniesz pożądany odcień bieli.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pndfd7sg27o" w:id="19"/>
      <w:bookmarkEnd w:id="1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Zakres zastosowania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Skuteczny w usuwaniu przebarwień spowodowanych przez kawę, tytoń, czynniki genetyczne, tetracyklinę, barwniki spożywcze, starzenie się i inne przyczyny przebarwień zębów.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3ew6w1vl2nl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Przechowywanie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Przechowywać w chłodnym miejscu, z dala od bezpośredniego światła słonecznego.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bkmt1ln8dxr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Okres trwałości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24 miesiące.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l3pmphhool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h8h9e7q7bu0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Uwaga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Prawidłowe uformowanie i przycięcie nakładek, aby idealnie dopasowały się do zębów, to najważniejszy krok. Żel działa skutecznie tylko przy dobrze dopasowanych nakładkach. Źle uformowane nakładki mogą powodować podrażnienia dziąseł lub uczucie pieczenia, a efekty wybielania będą słabsze. W przypadku podrażnienia dziąseł dyskomfort zwykle ustępuje w ciągu 24–48 godzin.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Ostrzeżenia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Do użytku zewnętrznego. Nie połykać.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Produkt nie jest odpowiedni dla osób poniżej 16. roku życia.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Nie stosować, jeśli masz rany, problemy z dziąsłami, ubytki, cofnięte dziąsła lub inne problemy z zębami czy jamą ustną.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Nieodpowiedni dla kobiet w ciąży ani karmiących piersią.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Nie używać produktu dłużej niż zalecano. Nie przekraczać maksymalnego czasu zabiegu wynoszącego 45 minut na sesję.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b4yge4jsxt8m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W przypadku utrzymującej się nadwrażliwości lub bólu natychmiast przerwać zabieg i skonsultować się z dentystą.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n1ig8w56l2x9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Przechowywać w miejscu niedostępnym dla dzieci.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da8fightujtj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/>
      </w:pPr>
      <w:bookmarkStart w:colFirst="0" w:colLast="0" w:name="_x1x5j84ootvg" w:id="26"/>
      <w:bookmarkEnd w:id="2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